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0EC" w:rsidRPr="00A37D7E" w:rsidRDefault="001900EC" w:rsidP="00090D63">
      <w:pPr>
        <w:widowControl w:val="0"/>
        <w:autoSpaceDE w:val="0"/>
        <w:autoSpaceDN w:val="0"/>
        <w:adjustRightInd w:val="0"/>
        <w:snapToGrid w:val="0"/>
        <w:spacing w:line="240" w:lineRule="auto"/>
        <w:rPr>
          <w:rFonts w:cs="Times New Roman"/>
          <w:spacing w:val="0"/>
          <w:szCs w:val="28"/>
        </w:rPr>
      </w:pPr>
      <w:bookmarkStart w:id="0" w:name="_GoBack"/>
      <w:bookmarkEnd w:id="0"/>
      <w:r w:rsidRPr="00B51398">
        <w:rPr>
          <w:rStyle w:val="Heading1Char"/>
          <w:i/>
        </w:rPr>
        <w:t>CHỐNG ĐUY</w:t>
      </w:r>
      <w:r w:rsidR="00772350">
        <w:rPr>
          <w:rStyle w:val="Heading1Char"/>
          <w:i/>
          <w:lang w:val="en-US"/>
        </w:rPr>
        <w:t xml:space="preserve"> </w:t>
      </w:r>
      <w:r w:rsidRPr="00B51398">
        <w:rPr>
          <w:rStyle w:val="Heading1Char"/>
          <w:i/>
        </w:rPr>
        <w:t>RINH</w:t>
      </w:r>
      <w:r w:rsidRPr="00B51398">
        <w:rPr>
          <w:rFonts w:cs="Times New Roman"/>
          <w:i/>
          <w:szCs w:val="28"/>
        </w:rPr>
        <w:t xml:space="preserve"> (Anti</w:t>
      </w:r>
      <w:r w:rsidR="00772350">
        <w:rPr>
          <w:rFonts w:cs="Times New Roman"/>
          <w:i/>
          <w:szCs w:val="28"/>
          <w:lang w:val="en-US"/>
        </w:rPr>
        <w:t xml:space="preserve"> Duhrinh</w:t>
      </w:r>
      <w:r w:rsidRPr="00B51398">
        <w:rPr>
          <w:rFonts w:cs="Times New Roman"/>
          <w:i/>
          <w:szCs w:val="28"/>
        </w:rPr>
        <w:t>, cg. Ông Ơgiêni Đuyrinh đảo lộn khoa học)</w:t>
      </w:r>
      <w:r w:rsidRPr="00B51398">
        <w:rPr>
          <w:rFonts w:cs="Times New Roman"/>
          <w:szCs w:val="28"/>
        </w:rPr>
        <w:t xml:space="preserve">, tác phẩm chính của Ph. Ănghen về triết học, kinh tế chính trị học và chủ nghĩa xã hội khoa học. </w:t>
      </w:r>
    </w:p>
    <w:p w:rsidR="001900EC" w:rsidRPr="00A37D7E" w:rsidRDefault="001900EC" w:rsidP="00090D63">
      <w:pPr>
        <w:widowControl w:val="0"/>
        <w:autoSpaceDE w:val="0"/>
        <w:autoSpaceDN w:val="0"/>
        <w:adjustRightInd w:val="0"/>
        <w:snapToGrid w:val="0"/>
        <w:spacing w:line="240" w:lineRule="auto"/>
        <w:rPr>
          <w:rFonts w:cs="Times New Roman"/>
          <w:spacing w:val="0"/>
          <w:szCs w:val="28"/>
        </w:rPr>
      </w:pPr>
      <w:r w:rsidRPr="00B51398">
        <w:rPr>
          <w:rFonts w:cs="Times New Roman"/>
          <w:szCs w:val="28"/>
        </w:rPr>
        <w:t xml:space="preserve">Ph.Ăngghen viết tác phẩm CĐR nhằm bảo vệ học thuyết Mác, chống lại sự công kích của </w:t>
      </w:r>
      <w:r w:rsidR="00772350">
        <w:rPr>
          <w:rFonts w:cs="Times New Roman"/>
          <w:szCs w:val="28"/>
        </w:rPr>
        <w:t>Đuyrinh</w:t>
      </w:r>
      <w:r w:rsidRPr="00B51398">
        <w:rPr>
          <w:rFonts w:cs="Times New Roman"/>
          <w:szCs w:val="28"/>
        </w:rPr>
        <w:t xml:space="preserve"> mà quan điểm của ông ta được một số đảng viên Đảng xã hội – dân chủ Đức mới được thành lập ủng hộ. Mác đã đọc bản thảo cuốn CĐR và viết chương về lịch sử kinh tế chính trị học (chương X của phần II). Năm 1878 cuốn sách được xuất bản riêng và đã bị cấm cùng trong năm đó. </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Vào nửa cuối thế kỷ XIX trong phong trào công nhân Đức có hai tổ chức chính trị của giai cấp công nhân. Một là “Liên minh giai cấp công nhân toàn nước Đức” do Lassalle lãnh đạo. Tổ chức này nêu lên những khẩu hiệu chung chung về chống chủ nghĩa tư bản. Trong tổ chức này, một số người theo quan điểm mácxít. Hai là “Aidonac” do Liepnech lãnh đạo. Tổ chức này chịu ảnh hưởng tư tưởng của Mác. Sau khi nước Đức thống nhất (năm 1871) thì vấn đề thống nhất các tổ chức trong phong trào công nhân Đức được đặt ra. Hai tổ chức này họp lại tại Gotha để thống nhất thành một tổ chức đảng; soạn thảo và thông qua cương lĩnh chung. Mác và Ăngghen cho rằng Cương lĩnh này có nhiều sai lầm và tiến hành phê phán những quan điểm sai lầm đó.</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Bấy giờ có nhiều nhà tư tưởng chống chủ nghĩa</w:t>
      </w:r>
      <w:r w:rsidR="00772350">
        <w:rPr>
          <w:rFonts w:cs="Times New Roman"/>
          <w:szCs w:val="28"/>
          <w:lang w:val="en-US"/>
        </w:rPr>
        <w:t xml:space="preserve"> </w:t>
      </w:r>
      <w:r w:rsidRPr="00B51398">
        <w:rPr>
          <w:rFonts w:cs="Times New Roman"/>
          <w:szCs w:val="28"/>
        </w:rPr>
        <w:t xml:space="preserve">Mác, trong đó có </w:t>
      </w:r>
      <w:r w:rsidR="00772350">
        <w:rPr>
          <w:rFonts w:cs="Times New Roman"/>
          <w:szCs w:val="28"/>
        </w:rPr>
        <w:t>Đuyrinh</w:t>
      </w:r>
      <w:r w:rsidRPr="00B51398">
        <w:rPr>
          <w:rFonts w:cs="Times New Roman"/>
          <w:szCs w:val="28"/>
        </w:rPr>
        <w:t xml:space="preserve">. </w:t>
      </w:r>
      <w:r w:rsidR="00772350">
        <w:rPr>
          <w:rFonts w:cs="Times New Roman"/>
          <w:szCs w:val="28"/>
        </w:rPr>
        <w:t>Đuyrinh</w:t>
      </w:r>
      <w:r w:rsidRPr="00B51398">
        <w:rPr>
          <w:rFonts w:cs="Times New Roman"/>
          <w:szCs w:val="28"/>
        </w:rPr>
        <w:t xml:space="preserve"> là phó giáo sư của trường đại học Berlin. Ông ta viết nhiều tác phẩm về lĩnh vực triết học, kinh tế chính trị, chủ nghĩa xã hội. C.Mác và Ph.Ăngghen  cho rằng, chủ nghĩa xã hội mà Đuyrinh đưa ra là không tưởng; kinh tế chính trị học của </w:t>
      </w:r>
      <w:r w:rsidR="00772350">
        <w:rPr>
          <w:rFonts w:cs="Times New Roman"/>
          <w:szCs w:val="28"/>
        </w:rPr>
        <w:t>Đuyrinh</w:t>
      </w:r>
      <w:r w:rsidRPr="00B51398">
        <w:rPr>
          <w:rFonts w:cs="Times New Roman"/>
          <w:szCs w:val="28"/>
        </w:rPr>
        <w:t xml:space="preserve"> là kinh tế chính trị học tầm thường của giai cấp tư sản; triết học của </w:t>
      </w:r>
      <w:r w:rsidR="00772350">
        <w:rPr>
          <w:rFonts w:cs="Times New Roman"/>
          <w:szCs w:val="28"/>
        </w:rPr>
        <w:t>Đuyrinh</w:t>
      </w:r>
      <w:r w:rsidRPr="00B51398">
        <w:rPr>
          <w:rFonts w:cs="Times New Roman"/>
          <w:szCs w:val="28"/>
        </w:rPr>
        <w:t xml:space="preserve"> là một thứ hổ lốn các loại tư tưởng duy tâm và duy vật. Nhưng tư tưởng của </w:t>
      </w:r>
      <w:r w:rsidR="00772350">
        <w:rPr>
          <w:rFonts w:cs="Times New Roman"/>
          <w:szCs w:val="28"/>
        </w:rPr>
        <w:t>Đuyrinh</w:t>
      </w:r>
      <w:r w:rsidRPr="00B51398">
        <w:rPr>
          <w:rFonts w:cs="Times New Roman"/>
          <w:szCs w:val="28"/>
        </w:rPr>
        <w:t xml:space="preserve"> lúc đó lại được một số người lãnh đạo Đảng Công nhân dân chủ xã hội Đức hoan nghênh. Bécstanh đã đăng những bài báo của </w:t>
      </w:r>
      <w:r w:rsidR="00772350">
        <w:rPr>
          <w:rFonts w:cs="Times New Roman"/>
          <w:szCs w:val="28"/>
        </w:rPr>
        <w:t>Đuyrinh</w:t>
      </w:r>
      <w:r w:rsidRPr="00B51398">
        <w:rPr>
          <w:rFonts w:cs="Times New Roman"/>
          <w:szCs w:val="28"/>
        </w:rPr>
        <w:t xml:space="preserve"> trên báo của Đảng. Điều đó làm cho </w:t>
      </w:r>
      <w:r w:rsidR="00772350">
        <w:rPr>
          <w:rFonts w:cs="Times New Roman"/>
          <w:szCs w:val="28"/>
        </w:rPr>
        <w:t>Đuyrinh</w:t>
      </w:r>
      <w:r w:rsidRPr="00B51398">
        <w:rPr>
          <w:rFonts w:cs="Times New Roman"/>
          <w:szCs w:val="28"/>
        </w:rPr>
        <w:t xml:space="preserve"> càng ra sức chống lại chủ nghĩa Mác. Mác và Ăngghen cho rằng, chủ nghĩa </w:t>
      </w:r>
      <w:r w:rsidR="00772350">
        <w:rPr>
          <w:rFonts w:cs="Times New Roman"/>
          <w:szCs w:val="28"/>
        </w:rPr>
        <w:t>Đuyrinh</w:t>
      </w:r>
      <w:r w:rsidRPr="00B51398">
        <w:rPr>
          <w:rFonts w:cs="Times New Roman"/>
          <w:szCs w:val="28"/>
        </w:rPr>
        <w:t xml:space="preserve"> đã gây ảnh hưởng xấu đến phong trào công nhân Đức, ngăn cản sự thống nhất của Đảng công nhân dân chủ xã hội trên cơ sở chủ nghĩa Mác. Từ đó, C.Mác và Ph.Ăngghen  cho rằng cần phải phê phán những tư tưởng của </w:t>
      </w:r>
      <w:r w:rsidR="00772350">
        <w:rPr>
          <w:rFonts w:cs="Times New Roman"/>
          <w:szCs w:val="28"/>
        </w:rPr>
        <w:t>Đuyrinh</w:t>
      </w:r>
      <w:r w:rsidRPr="00B51398">
        <w:rPr>
          <w:rFonts w:cs="Times New Roman"/>
          <w:szCs w:val="28"/>
        </w:rPr>
        <w:t xml:space="preserve">. </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Tháng 01</w:t>
      </w:r>
      <w:r w:rsidR="00772350">
        <w:rPr>
          <w:rFonts w:cs="Times New Roman"/>
          <w:szCs w:val="28"/>
          <w:lang w:val="en-US"/>
        </w:rPr>
        <w:t xml:space="preserve"> năm </w:t>
      </w:r>
      <w:r w:rsidRPr="00B51398">
        <w:rPr>
          <w:rFonts w:cs="Times New Roman"/>
          <w:szCs w:val="28"/>
        </w:rPr>
        <w:t xml:space="preserve">1877, Ph.Ăngghen đã viết xong một loạt bài báo phê phán “Bài giảng về triết học” của </w:t>
      </w:r>
      <w:r w:rsidR="00772350">
        <w:rPr>
          <w:rFonts w:cs="Times New Roman"/>
          <w:szCs w:val="28"/>
        </w:rPr>
        <w:t>Đuyrinh</w:t>
      </w:r>
      <w:r w:rsidRPr="00B51398">
        <w:rPr>
          <w:rFonts w:cs="Times New Roman"/>
          <w:szCs w:val="28"/>
        </w:rPr>
        <w:t xml:space="preserve"> đăng trên báo </w:t>
      </w:r>
      <w:r w:rsidRPr="00A37D7E">
        <w:rPr>
          <w:rFonts w:cs="Times New Roman"/>
          <w:i/>
          <w:szCs w:val="28"/>
        </w:rPr>
        <w:t>Tiến lên</w:t>
      </w:r>
      <w:r w:rsidRPr="00B51398">
        <w:rPr>
          <w:rFonts w:cs="Times New Roman"/>
          <w:szCs w:val="28"/>
        </w:rPr>
        <w:t xml:space="preserve">. Từ tháng 6 đến tháng 8 năm 1877, Ph.Ăngghen viết xong phần “Kinh tế chính trị học”, trong đó chương cuối cùng của phần “Kinh tế chính trị học” do Mác viết. Từ tháng 8 năm 1877 đến tháng 4 năm 1878, phần thứ hai và phần thứ ba được xuất bản thành sách với đầu đề: </w:t>
      </w:r>
      <w:r w:rsidRPr="00090D63">
        <w:rPr>
          <w:rFonts w:cs="Times New Roman"/>
          <w:i/>
          <w:szCs w:val="28"/>
        </w:rPr>
        <w:t>Ông Đuyrinh đảo lộn khoa học. Phần thứ hai: kinh tế chính trị học. Phần thứ ba: Chủ nghĩa xã hội</w:t>
      </w:r>
      <w:r w:rsidRPr="00B51398">
        <w:rPr>
          <w:rFonts w:cs="Times New Roman"/>
          <w:szCs w:val="28"/>
        </w:rPr>
        <w:t>. Tiếp sau đó Ph.Ăngghen viết lời tựa cho lần xuất bản sách gồm cả ba phần: triết học, kinh tế chính trị học và chủ nghĩa xã hội.</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 xml:space="preserve">Trong tác phẩm </w:t>
      </w:r>
      <w:r w:rsidRPr="00B51398">
        <w:rPr>
          <w:rFonts w:cs="Times New Roman"/>
          <w:iCs/>
          <w:szCs w:val="28"/>
        </w:rPr>
        <w:t>này,</w:t>
      </w:r>
      <w:r w:rsidRPr="00B51398">
        <w:rPr>
          <w:rFonts w:cs="Times New Roman"/>
          <w:szCs w:val="28"/>
        </w:rPr>
        <w:t xml:space="preserve"> Ph.Ăngghen phê phán mạnh mẽ tư tưởng của </w:t>
      </w:r>
      <w:r w:rsidR="00772350">
        <w:rPr>
          <w:rFonts w:cs="Times New Roman"/>
          <w:szCs w:val="28"/>
        </w:rPr>
        <w:t>Đuyrinh</w:t>
      </w:r>
      <w:r w:rsidRPr="00B51398">
        <w:rPr>
          <w:rFonts w:cs="Times New Roman"/>
          <w:szCs w:val="28"/>
        </w:rPr>
        <w:t xml:space="preserve"> trên các lĩnh vực triết học, kinh tế chính trị học và chủ nghĩa xã hội; bảo vệ và phát triển chủ nghĩa Mác; cung cấp vũ khí lý luận sắc bén cho Đảng công nhân dân chủ xã hội Đức và phong trào xã hội chủ nghĩa của giai cấp công nhân lúc bấy giờ. Đó là một tác phẩm bút chiến. Sau khi đã hoàn thành nhiệm vụ phê phán của mình, tác phẩm đó vẫn còn ý nghĩa to lớn. </w:t>
      </w:r>
    </w:p>
    <w:p w:rsidR="001900EC" w:rsidRPr="00D464F0" w:rsidRDefault="001900EC" w:rsidP="00090D63">
      <w:pPr>
        <w:pStyle w:val="NoSpacing"/>
        <w:spacing w:line="240" w:lineRule="auto"/>
        <w:rPr>
          <w:lang w:val="vi-VN"/>
        </w:rPr>
      </w:pPr>
      <w:r w:rsidRPr="00A37D7E">
        <w:rPr>
          <w:lang w:val="vi-VN"/>
        </w:rPr>
        <w:lastRenderedPageBreak/>
        <w:t xml:space="preserve">Cuốn sách gồm ba phần: Triết học, Kinh tế chính trị học, Chủ nghĩa xã hội. </w:t>
      </w:r>
      <w:r w:rsidRPr="00A37D7E">
        <w:rPr>
          <w:bCs/>
          <w:lang w:val="vi-VN"/>
        </w:rPr>
        <w:t xml:space="preserve">Ở phần thứ nhất (Triết học), </w:t>
      </w:r>
      <w:r w:rsidRPr="00A37D7E">
        <w:rPr>
          <w:lang w:val="vi-VN"/>
        </w:rPr>
        <w:t xml:space="preserve">Ph.Ăngghen  phê phán quan điểm của </w:t>
      </w:r>
      <w:r w:rsidR="00772350">
        <w:rPr>
          <w:lang w:val="vi-VN"/>
        </w:rPr>
        <w:t>Đuyrinh</w:t>
      </w:r>
      <w:r w:rsidRPr="00A37D7E">
        <w:rPr>
          <w:lang w:val="vi-VN"/>
        </w:rPr>
        <w:t xml:space="preserve"> trong lĩnh vực triết học, đồng thời trình bày những quan điểm cơ bản của chủ nghĩa duy vật biện chứng và chủ nghĩa duy vật lịch sử về vấn đề cơ bản của triết học. Chẳng hạn, đó là các vấn đề về tính vật chất của thế giới, về thời gian và không gian với tính cách là những hình thức của mọi tồn tại, về tính thống nhất của vật chất và vận động, về những hình thức của vận động và phân loại các khoa học, về những quy luật cơ bản của nhận thức thế giới. Ph.Ăngghen  chú ý nhiều đến việc trình bày về phép biện chứng, đặc điểm và những quy luật cơ bản của nó, mối quan hệ giữa logic hình thức và logic biện chứng. Khi trình bày những quan điểm cơ bản của chủ nghĩa duy vật biện chứng và chủ nghĩa duy vật lịch sử, Ăngghen cũng đề cập đến nhiều vấn đề quan trọng của khoa học tự nhiên, sử dụng những thành tựu của khoa học tư nhiên để chứng minh cho quan điểm triết học duy vật biện chứng. Đó là học thuyết tiến hoá của Darwin, học thuyết về tế bào và bản chất của sự sống, học thuyết về nguồn gốc của vũ trụ. Trong phần Triết học, Ph.Ăngghen cũng chú ý nhiều đến việc trình bày quan điểm của chủ nghĩa duy vật lịch sử về các vấn đề như đạo đức, bình đẳng, tự do, tất yếu. Hầu như tất cả các quan điểm được trình bày trong các sách giáo khoa về triết học Mác – L</w:t>
      </w:r>
      <w:r w:rsidR="00772350">
        <w:t>ê</w:t>
      </w:r>
      <w:r w:rsidRPr="00A37D7E">
        <w:rPr>
          <w:lang w:val="vi-VN"/>
        </w:rPr>
        <w:t>nin đều có trong cuốn CĐR.</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bCs/>
          <w:szCs w:val="28"/>
        </w:rPr>
        <w:t xml:space="preserve">Ở phần thứ hai (Kinh tế chính trị học), Ph.Ăngghen </w:t>
      </w:r>
      <w:r w:rsidRPr="00B51398">
        <w:rPr>
          <w:rFonts w:cs="Times New Roman"/>
          <w:szCs w:val="28"/>
        </w:rPr>
        <w:t xml:space="preserve">phê phán quan điểm của </w:t>
      </w:r>
      <w:r w:rsidR="00772350">
        <w:rPr>
          <w:rFonts w:cs="Times New Roman"/>
          <w:szCs w:val="28"/>
        </w:rPr>
        <w:t>Đuyrinh</w:t>
      </w:r>
      <w:r w:rsidRPr="00B51398">
        <w:rPr>
          <w:rFonts w:cs="Times New Roman"/>
          <w:szCs w:val="28"/>
        </w:rPr>
        <w:t xml:space="preserve"> trong lĩnh vực k</w:t>
      </w:r>
      <w:r w:rsidRPr="00B51398">
        <w:rPr>
          <w:rFonts w:cs="Times New Roman"/>
          <w:bCs/>
          <w:szCs w:val="28"/>
        </w:rPr>
        <w:t>inh tế chính trị học</w:t>
      </w:r>
      <w:r w:rsidRPr="00B51398">
        <w:rPr>
          <w:rFonts w:cs="Times New Roman"/>
          <w:szCs w:val="28"/>
        </w:rPr>
        <w:t>, đồng thời trình bày những quan điểm cơ bản của k</w:t>
      </w:r>
      <w:r w:rsidRPr="00B51398">
        <w:rPr>
          <w:rFonts w:cs="Times New Roman"/>
          <w:bCs/>
          <w:szCs w:val="28"/>
        </w:rPr>
        <w:t>inh tế chính trị học</w:t>
      </w:r>
      <w:r w:rsidRPr="00B51398">
        <w:rPr>
          <w:rFonts w:cs="Times New Roman"/>
          <w:szCs w:val="28"/>
        </w:rPr>
        <w:t xml:space="preserve"> của chủ nghĩa Mác. Ph.Ăngghen đã chỉ ra đối tượng và phương pháp của k</w:t>
      </w:r>
      <w:r w:rsidRPr="00B51398">
        <w:rPr>
          <w:rFonts w:cs="Times New Roman"/>
          <w:bCs/>
          <w:szCs w:val="28"/>
        </w:rPr>
        <w:t xml:space="preserve">inh tế chính trị học, đã trình bày học thuyết Mác về hàng hóa và giá trị, về giá trị thặng dư và tư bản, địa tô, v.v.. </w:t>
      </w:r>
      <w:r w:rsidRPr="00B51398">
        <w:rPr>
          <w:rFonts w:cs="Times New Roman"/>
          <w:szCs w:val="28"/>
        </w:rPr>
        <w:t>Ph.Ăngghen  phê phán lý luận duy tâm về bạo lực, đồng thời chỉ ra ý nghĩa quyết định của kinh tế trong sự phát triển của xã hội, giải thích nguồn gốc của chế độ tư hữu và các giai cấp, khẳng định sự cần thiết của bạo lực trong những thời kỳ cách mạng.</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bCs/>
          <w:szCs w:val="28"/>
        </w:rPr>
        <w:t xml:space="preserve">Ở phần thứ ba </w:t>
      </w:r>
      <w:r w:rsidR="00772350">
        <w:rPr>
          <w:rFonts w:cs="Times New Roman"/>
          <w:bCs/>
          <w:szCs w:val="28"/>
          <w:lang w:val="en-US"/>
        </w:rPr>
        <w:t>(</w:t>
      </w:r>
      <w:r w:rsidRPr="00090D63">
        <w:rPr>
          <w:rFonts w:cs="Times New Roman"/>
          <w:bCs/>
          <w:szCs w:val="28"/>
        </w:rPr>
        <w:t>Chủ nghĩa xã hội</w:t>
      </w:r>
      <w:r w:rsidR="00772350">
        <w:rPr>
          <w:rFonts w:cs="Times New Roman"/>
          <w:bCs/>
          <w:szCs w:val="28"/>
          <w:lang w:val="en-US"/>
        </w:rPr>
        <w:t>)</w:t>
      </w:r>
      <w:r w:rsidRPr="00B51398">
        <w:rPr>
          <w:rFonts w:cs="Times New Roman"/>
          <w:bCs/>
          <w:szCs w:val="28"/>
        </w:rPr>
        <w:t>,</w:t>
      </w:r>
      <w:r w:rsidRPr="00B51398">
        <w:rPr>
          <w:rFonts w:cs="Times New Roman"/>
          <w:szCs w:val="28"/>
        </w:rPr>
        <w:t xml:space="preserve"> Ph.Ăngghen khái quát sáng rõ lý luận và lịch sử của chủ nghĩa cộng sản khoa học, làm rõ sự khác biệt giữachủ nghĩa xã hội không tưởng, luận chứng sâu sắc những nhiệm vụ và con đường cải tạo xã hội theo chủ nghĩa cộng sản, trình bày quan điểm mác -xít về một số vấn đề căn bản của chủ nghĩa xã hôi và chủ nghĩa cộng sản như vấn đề sản xuất và phân phối dưới chủ nghĩa xã hôi và chủ nghĩa cộng sản, vấn đề nhà nước, vấn đề gia đình, vấn đề xóa bỏ sự đối lập giữa thành thị và nông thôn, giữa lao động trí óc và lao động chân tay.</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Những vấn đề mà Ph.Ăngghen đề cập trong cuốn CĐR một cách cơ bản và phong phú, bao quát cả ba bộ phận hợp thành của chủ nghĩa Mác. Cuốn sách CĐR là một cuốn sách mẫu mực về việc bảo vệ thế giới quan khoa học của chủ nghĩa Mác và lợi ích của giai cấp vô sản. Cuốn sách CĐR cũng là một cuốn sách mẫu mực về sự phát triển chủ nghĩa Mác.</w:t>
      </w:r>
    </w:p>
    <w:p w:rsidR="001900EC" w:rsidRPr="00A37D7E" w:rsidRDefault="001900EC" w:rsidP="00090D63">
      <w:pPr>
        <w:widowControl w:val="0"/>
        <w:adjustRightInd w:val="0"/>
        <w:snapToGrid w:val="0"/>
        <w:spacing w:line="240" w:lineRule="auto"/>
        <w:rPr>
          <w:rFonts w:cs="Times New Roman"/>
          <w:spacing w:val="0"/>
          <w:szCs w:val="28"/>
        </w:rPr>
      </w:pPr>
      <w:r w:rsidRPr="00B51398">
        <w:rPr>
          <w:rFonts w:cs="Times New Roman"/>
          <w:szCs w:val="28"/>
        </w:rPr>
        <w:t>Theo nhận xét của Lênin, cuốn sách CĐR phân tích những vấn đề quan trọng nhất của triết học, của khoa học tự nhiên và khoa học xã hội, đó là một cuốn sách có nội dung đặc biệt phong phú và bổ ích, cuốn sách này là một những sách gối đầu giường của mọi công nhân giác ngộ. Cuốn sách CĐR hiện nay vẫn là cuốn sách giáo khoa để nắm vững thế giới quan của chủ nghĩa duy vật biện chứng và chủ nghĩa duy vật lịch sử.</w:t>
      </w:r>
    </w:p>
    <w:p w:rsidR="001900EC" w:rsidRPr="00A37D7E" w:rsidRDefault="001900EC" w:rsidP="00090D63">
      <w:pPr>
        <w:widowControl w:val="0"/>
        <w:adjustRightInd w:val="0"/>
        <w:snapToGrid w:val="0"/>
        <w:spacing w:before="240" w:line="240" w:lineRule="auto"/>
        <w:jc w:val="right"/>
        <w:rPr>
          <w:rFonts w:cs="Times New Roman"/>
          <w:b/>
          <w:spacing w:val="0"/>
          <w:shd w:val="clear" w:color="auto" w:fill="FFFFFF"/>
        </w:rPr>
      </w:pPr>
      <w:r w:rsidRPr="00B51398">
        <w:rPr>
          <w:rFonts w:cs="Times New Roman"/>
          <w:b/>
          <w:sz w:val="22"/>
          <w:szCs w:val="22"/>
          <w:shd w:val="clear" w:color="auto" w:fill="FFFFFF"/>
        </w:rPr>
        <w:lastRenderedPageBreak/>
        <w:t>NGUYỄN NGỌC HÀ</w:t>
      </w:r>
    </w:p>
    <w:p w:rsidR="001900EC" w:rsidRPr="00A37D7E" w:rsidRDefault="001900EC" w:rsidP="00090D63">
      <w:pPr>
        <w:widowControl w:val="0"/>
        <w:tabs>
          <w:tab w:val="left" w:pos="851"/>
        </w:tabs>
        <w:adjustRightInd w:val="0"/>
        <w:snapToGrid w:val="0"/>
        <w:spacing w:before="240" w:line="240" w:lineRule="auto"/>
        <w:ind w:left="567" w:firstLine="0"/>
        <w:rPr>
          <w:rFonts w:cs="Times New Roman"/>
          <w:b/>
          <w:bCs/>
          <w:spacing w:val="0"/>
          <w:sz w:val="24"/>
          <w:szCs w:val="24"/>
          <w:shd w:val="clear" w:color="auto" w:fill="FFFFFF"/>
        </w:rPr>
      </w:pPr>
      <w:r w:rsidRPr="00A37D7E">
        <w:rPr>
          <w:rFonts w:cs="Times New Roman"/>
          <w:b/>
          <w:bCs/>
          <w:sz w:val="24"/>
          <w:szCs w:val="24"/>
          <w:shd w:val="clear" w:color="auto" w:fill="FFFFFF"/>
        </w:rPr>
        <w:t>Tài liệu tham khảo</w:t>
      </w:r>
    </w:p>
    <w:p w:rsidR="001900EC" w:rsidRPr="00A37D7E" w:rsidRDefault="001900EC" w:rsidP="00090D63">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2"/>
          <w:sz w:val="24"/>
          <w:szCs w:val="24"/>
          <w:lang w:val="vi-VN"/>
        </w:rPr>
      </w:pPr>
      <w:r w:rsidRPr="00A37D7E">
        <w:rPr>
          <w:rFonts w:ascii="Times New Roman" w:hAnsi="Times New Roman"/>
          <w:spacing w:val="-2"/>
          <w:sz w:val="24"/>
          <w:szCs w:val="24"/>
          <w:lang w:val="vi-VN"/>
        </w:rPr>
        <w:t xml:space="preserve">C.Mác và Ph.Ăngghen , </w:t>
      </w:r>
      <w:r w:rsidRPr="00A37D7E">
        <w:rPr>
          <w:rFonts w:ascii="Times New Roman" w:hAnsi="Times New Roman"/>
          <w:i/>
          <w:spacing w:val="-2"/>
          <w:sz w:val="24"/>
          <w:szCs w:val="24"/>
          <w:lang w:val="vi-VN"/>
        </w:rPr>
        <w:t>Toàn tập</w:t>
      </w:r>
      <w:r w:rsidRPr="00A37D7E">
        <w:rPr>
          <w:rFonts w:ascii="Times New Roman" w:hAnsi="Times New Roman"/>
          <w:spacing w:val="-2"/>
          <w:sz w:val="24"/>
          <w:szCs w:val="24"/>
          <w:lang w:val="vi-VN"/>
        </w:rPr>
        <w:t>, tập 20, Nxb Chính trị quốc gia, Hà Nội, 1994.</w:t>
      </w:r>
    </w:p>
    <w:p w:rsidR="001900EC" w:rsidRPr="00A37D7E" w:rsidRDefault="001900EC" w:rsidP="00090D63">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0"/>
          <w:sz w:val="24"/>
          <w:szCs w:val="24"/>
          <w:lang w:val="vi-VN"/>
        </w:rPr>
      </w:pPr>
      <w:r w:rsidRPr="00A37D7E">
        <w:rPr>
          <w:rFonts w:ascii="Times New Roman" w:hAnsi="Times New Roman"/>
          <w:spacing w:val="0"/>
          <w:sz w:val="24"/>
          <w:szCs w:val="24"/>
          <w:lang w:val="vi-VN"/>
        </w:rPr>
        <w:t xml:space="preserve">Trần Sĩ Phán, </w:t>
      </w:r>
      <w:r w:rsidRPr="00A37D7E">
        <w:rPr>
          <w:rFonts w:ascii="Times New Roman" w:hAnsi="Times New Roman"/>
          <w:i/>
          <w:iCs/>
          <w:spacing w:val="0"/>
          <w:sz w:val="24"/>
          <w:szCs w:val="24"/>
          <w:lang w:val="vi-VN"/>
        </w:rPr>
        <w:t xml:space="preserve">Một số vấn đề về đạo đức trong Chống </w:t>
      </w:r>
      <w:r w:rsidR="00772350">
        <w:rPr>
          <w:rFonts w:ascii="Times New Roman" w:hAnsi="Times New Roman"/>
          <w:i/>
          <w:iCs/>
          <w:spacing w:val="0"/>
          <w:sz w:val="24"/>
          <w:szCs w:val="24"/>
          <w:lang w:val="vi-VN"/>
        </w:rPr>
        <w:t>Đuyrinh</w:t>
      </w:r>
      <w:r w:rsidRPr="00A37D7E">
        <w:rPr>
          <w:rFonts w:ascii="Times New Roman" w:hAnsi="Times New Roman"/>
          <w:i/>
          <w:iCs/>
          <w:spacing w:val="0"/>
          <w:sz w:val="24"/>
          <w:szCs w:val="24"/>
          <w:lang w:val="vi-VN"/>
        </w:rPr>
        <w:t xml:space="preserve"> của Ph. Ăngghen</w:t>
      </w:r>
      <w:r w:rsidRPr="00A37D7E">
        <w:rPr>
          <w:rFonts w:ascii="Times New Roman" w:hAnsi="Times New Roman"/>
          <w:spacing w:val="0"/>
          <w:sz w:val="24"/>
          <w:szCs w:val="24"/>
          <w:lang w:val="vi-VN"/>
        </w:rPr>
        <w:t>, Tạp chí Nghiên cứu lý luận, số 11, 2000,</w:t>
      </w:r>
    </w:p>
    <w:p w:rsidR="001900EC" w:rsidRPr="00A37D7E" w:rsidRDefault="001900EC" w:rsidP="00090D63">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0"/>
          <w:sz w:val="24"/>
          <w:szCs w:val="24"/>
          <w:lang w:val="vi-VN"/>
        </w:rPr>
      </w:pPr>
      <w:r w:rsidRPr="00A37D7E">
        <w:rPr>
          <w:rFonts w:ascii="Times New Roman" w:hAnsi="Times New Roman"/>
          <w:spacing w:val="0"/>
          <w:sz w:val="24"/>
          <w:szCs w:val="24"/>
          <w:lang w:val="vi-VN"/>
        </w:rPr>
        <w:t xml:space="preserve">Lê Thị Thủy, </w:t>
      </w:r>
      <w:r w:rsidRPr="00A37D7E">
        <w:rPr>
          <w:rFonts w:ascii="Times New Roman" w:hAnsi="Times New Roman"/>
          <w:i/>
          <w:iCs/>
          <w:spacing w:val="0"/>
          <w:sz w:val="24"/>
          <w:szCs w:val="24"/>
          <w:lang w:val="vi-VN"/>
        </w:rPr>
        <w:t xml:space="preserve">Về phép biên chứng duy vật trong tác phẩm “Chống </w:t>
      </w:r>
      <w:r w:rsidR="00772350">
        <w:rPr>
          <w:rFonts w:ascii="Times New Roman" w:hAnsi="Times New Roman"/>
          <w:i/>
          <w:iCs/>
          <w:spacing w:val="0"/>
          <w:sz w:val="24"/>
          <w:szCs w:val="24"/>
          <w:lang w:val="vi-VN"/>
        </w:rPr>
        <w:t>Đuyrinh</w:t>
      </w:r>
      <w:r w:rsidRPr="00A37D7E">
        <w:rPr>
          <w:rFonts w:ascii="Times New Roman" w:hAnsi="Times New Roman"/>
          <w:i/>
          <w:iCs/>
          <w:spacing w:val="0"/>
          <w:sz w:val="24"/>
          <w:szCs w:val="24"/>
          <w:lang w:val="vi-VN"/>
        </w:rPr>
        <w:t>” của Ph. Ăngghen,</w:t>
      </w:r>
      <w:r w:rsidRPr="00A37D7E">
        <w:rPr>
          <w:rFonts w:ascii="Times New Roman" w:hAnsi="Times New Roman"/>
          <w:spacing w:val="0"/>
          <w:sz w:val="24"/>
          <w:szCs w:val="24"/>
          <w:lang w:val="vi-VN"/>
        </w:rPr>
        <w:t xml:space="preserve"> Tạp chí Giáo dục lý luận, số 8, 2004.</w:t>
      </w:r>
    </w:p>
    <w:p w:rsidR="006674C1" w:rsidRDefault="001900EC" w:rsidP="00090D63">
      <w:pPr>
        <w:tabs>
          <w:tab w:val="left" w:pos="851"/>
        </w:tabs>
        <w:spacing w:line="240" w:lineRule="auto"/>
        <w:ind w:left="567" w:firstLine="0"/>
      </w:pPr>
      <w:r w:rsidRPr="00A37D7E">
        <w:rPr>
          <w:spacing w:val="0"/>
          <w:sz w:val="24"/>
          <w:szCs w:val="24"/>
        </w:rPr>
        <w:t xml:space="preserve">Nguyễn Bằng Tường, </w:t>
      </w:r>
      <w:r w:rsidRPr="00A37D7E">
        <w:rPr>
          <w:i/>
          <w:iCs/>
          <w:spacing w:val="0"/>
          <w:sz w:val="24"/>
          <w:szCs w:val="24"/>
        </w:rPr>
        <w:t>Giới thiệu tác phẩm CĐR,</w:t>
      </w:r>
      <w:r w:rsidRPr="00A37D7E">
        <w:rPr>
          <w:spacing w:val="0"/>
          <w:sz w:val="24"/>
          <w:szCs w:val="24"/>
        </w:rPr>
        <w:t>Nxb Chính trị quốc gia, Hà Nội, 2005.</w:t>
      </w:r>
    </w:p>
    <w:sectPr w:rsidR="006674C1" w:rsidSect="00090D63">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EC"/>
    <w:rsid w:val="00090D63"/>
    <w:rsid w:val="000C6726"/>
    <w:rsid w:val="0016509E"/>
    <w:rsid w:val="001900EC"/>
    <w:rsid w:val="006674C1"/>
    <w:rsid w:val="00772350"/>
    <w:rsid w:val="00903006"/>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83EA3-8986-4B56-A6E4-B7012D06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1900EC"/>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outlineLvl w:val="0"/>
    </w:pPr>
    <w:rPr>
      <w:rFonts w:eastAsiaTheme="majorEastAsia" w:cstheme="majorBidi"/>
      <w:b/>
      <w:caps/>
      <w:snapToGrid w:val="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ListParagraph">
    <w:name w:val="List Paragraph"/>
    <w:basedOn w:val="Normal"/>
    <w:link w:val="ListParagraphChar"/>
    <w:uiPriority w:val="34"/>
    <w:qFormat/>
    <w:rsid w:val="001900E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1900EC"/>
    <w:rPr>
      <w:rFonts w:ascii="Cambria" w:eastAsia="MS Mincho" w:hAnsi="Cambria" w:cs="Times New Roman"/>
      <w:spacing w:val="8"/>
      <w:szCs w:val="20"/>
      <w:lang w:val="en-GB" w:eastAsia="en-US"/>
    </w:rPr>
  </w:style>
  <w:style w:type="paragraph" w:styleId="BalloonText">
    <w:name w:val="Balloon Text"/>
    <w:basedOn w:val="Normal"/>
    <w:link w:val="BalloonTextChar"/>
    <w:uiPriority w:val="99"/>
    <w:semiHidden/>
    <w:unhideWhenUsed/>
    <w:rsid w:val="00090D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63"/>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4</cp:revision>
  <dcterms:created xsi:type="dcterms:W3CDTF">2023-08-02T03:15:00Z</dcterms:created>
  <dcterms:modified xsi:type="dcterms:W3CDTF">2023-08-02T17:17:00Z</dcterms:modified>
</cp:coreProperties>
</file>